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830804" w:rsidRPr="00CF263D" w:rsidTr="00830804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04" w:rsidRPr="00CF263D" w:rsidRDefault="00830804" w:rsidP="00830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CF26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04" w:rsidRPr="00CF263D" w:rsidRDefault="00830804" w:rsidP="00830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 е с т н и к № 29                        от 10</w:t>
            </w:r>
            <w:r w:rsidRPr="00CF26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.11.2023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804" w:rsidRPr="00CF263D" w:rsidRDefault="00830804" w:rsidP="008308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CF26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УЧРЕДИТЕЛЬ:</w:t>
            </w:r>
          </w:p>
          <w:p w:rsidR="00830804" w:rsidRPr="00CF263D" w:rsidRDefault="00830804" w:rsidP="008308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CF26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Администрация Новоичинского сельсовета</w:t>
            </w:r>
          </w:p>
        </w:tc>
      </w:tr>
    </w:tbl>
    <w:p w:rsidR="00CF263D" w:rsidRPr="00CF263D" w:rsidRDefault="00CF263D" w:rsidP="00830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3D" w:rsidRPr="00CF263D" w:rsidRDefault="00CF263D" w:rsidP="00CF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CF263D" w:rsidRPr="00CF263D" w:rsidRDefault="00CF263D" w:rsidP="00CF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F26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 ф и ц и а </w:t>
      </w:r>
      <w:proofErr w:type="gramStart"/>
      <w:r w:rsidRPr="00CF26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F26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н ы е  д о к у м е н т ы</w:t>
      </w:r>
    </w:p>
    <w:p w:rsidR="00CF263D" w:rsidRPr="00CF263D" w:rsidRDefault="00CF263D" w:rsidP="00CF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F26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CF26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 ь</w:t>
      </w:r>
      <w:proofErr w:type="gramEnd"/>
      <w:r w:rsidRPr="00CF26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с о в е та </w:t>
      </w:r>
    </w:p>
    <w:p w:rsidR="00CF263D" w:rsidRPr="00CF263D" w:rsidRDefault="00CF263D" w:rsidP="00320AF1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63D" w:rsidRPr="00CF263D" w:rsidRDefault="00CF263D" w:rsidP="00CF26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263D" w:rsidRPr="00CF263D" w:rsidRDefault="00CF263D" w:rsidP="00CF26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263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НОВОИЧИНСКОГО СЕЛЬСОВЕТА   </w:t>
      </w:r>
    </w:p>
    <w:p w:rsidR="00CF263D" w:rsidRPr="00CF263D" w:rsidRDefault="00CF263D" w:rsidP="00CF26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263D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РАЙОНА   </w:t>
      </w:r>
    </w:p>
    <w:p w:rsidR="00CF263D" w:rsidRPr="00CF263D" w:rsidRDefault="00CF263D" w:rsidP="00CF26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263D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780E08" w:rsidRPr="00780E08" w:rsidRDefault="00780E08" w:rsidP="00CF2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Новоичинское</w:t>
      </w: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10.11.2023                                                                                                                           № 61</w:t>
      </w: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Об утверждении муниципальной программы</w:t>
      </w:r>
    </w:p>
    <w:p w:rsidR="00780E08" w:rsidRPr="00780E08" w:rsidRDefault="00780E08" w:rsidP="00780E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развития субъектов малого и среднего предпринимательства</w:t>
      </w:r>
    </w:p>
    <w:p w:rsidR="00780E08" w:rsidRPr="00780E08" w:rsidRDefault="00780E08" w:rsidP="00780E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на территории Новоичинского сельсовета Куйбышевского района </w:t>
      </w:r>
    </w:p>
    <w:p w:rsidR="00780E08" w:rsidRPr="00780E08" w:rsidRDefault="00780E08" w:rsidP="00780E0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Новосибирской области на 2024-2026 годы</w:t>
      </w:r>
    </w:p>
    <w:p w:rsidR="00780E08" w:rsidRPr="00780E08" w:rsidRDefault="00780E08" w:rsidP="00780E08">
      <w:pPr>
        <w:spacing w:after="0" w:line="240" w:lineRule="auto"/>
        <w:ind w:right="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</w:pPr>
      <w:r w:rsidRPr="00780E0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          </w:t>
      </w:r>
      <w:proofErr w:type="gramStart"/>
      <w:r w:rsidRPr="00780E0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В целях содействия развитию малого и среднего предпринимательства на территории </w:t>
      </w: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Новоичинского сельсовета Куйбышевского района Новосибирской области</w:t>
      </w:r>
      <w:r w:rsidRPr="00780E0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, в соответствии с Федеральными законами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Уставом </w:t>
      </w: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Новоичинского сельсовета Куйбышевского района</w:t>
      </w:r>
      <w:r w:rsidRPr="00780E0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 Новосибирской области, администрация </w:t>
      </w:r>
      <w:r w:rsidRPr="00780E0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Новоичинского сельсовета Куйбышевского района </w:t>
      </w:r>
      <w:r w:rsidRPr="00780E0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>Новосибирской</w:t>
      </w:r>
      <w:proofErr w:type="gramEnd"/>
      <w:r w:rsidRPr="00780E08">
        <w:rPr>
          <w:rFonts w:ascii="Times New Roman" w:eastAsia="Calibri" w:hAnsi="Times New Roman" w:cs="Times New Roman"/>
          <w:bCs/>
          <w:kern w:val="2"/>
          <w:sz w:val="24"/>
          <w:szCs w:val="24"/>
          <w:lang w:eastAsia="zh-CN"/>
        </w:rPr>
        <w:t xml:space="preserve"> области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муниципальную  программу развития субъектов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на 2024-2026 годы согласно приложению.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Финансирование муниципальной  программы развития субъектов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на 2024-2026 годы осуществлять в пределах средств, утвержденных в бюджете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Считать утраченным силу постановление от 12.11.2020 № 60 «Об утверждении муниципальной  программы развития субъектов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на 2021-2023 годы».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780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ru-RU"/>
          </w:rPr>
          <w:t>http://novoitshinsk.nso.ru</w:t>
        </w:r>
      </w:hyperlink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;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5.  </w:t>
      </w:r>
      <w:proofErr w:type="gramStart"/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исполнением постановления оставляю за собой.</w:t>
      </w:r>
    </w:p>
    <w:p w:rsidR="00780E08" w:rsidRPr="00780E08" w:rsidRDefault="00780E08" w:rsidP="00780E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780E08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 xml:space="preserve">  </w:t>
      </w:r>
    </w:p>
    <w:p w:rsidR="00780E08" w:rsidRPr="00780E08" w:rsidRDefault="00780E08" w:rsidP="00780E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p w:rsidR="00780E08" w:rsidRPr="00780E08" w:rsidRDefault="00780E08" w:rsidP="00780E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80E08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lastRenderedPageBreak/>
        <w:t xml:space="preserve">   </w:t>
      </w:r>
    </w:p>
    <w:p w:rsidR="00780E08" w:rsidRPr="00780E08" w:rsidRDefault="00780E08" w:rsidP="00780E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Глава Новоичинского сельсовета </w:t>
      </w:r>
    </w:p>
    <w:p w:rsidR="00780E08" w:rsidRPr="00780E08" w:rsidRDefault="00780E08" w:rsidP="00780E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Куйбышевского района </w:t>
      </w:r>
    </w:p>
    <w:p w:rsidR="00780E08" w:rsidRPr="00780E08" w:rsidRDefault="00780E08" w:rsidP="00780E0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780E08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Новосибирской области                                                                         Н. О. Кущенко</w:t>
      </w: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0AF1" w:rsidRPr="00780E08" w:rsidRDefault="00320AF1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9134B" w:rsidRDefault="0019134B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9134B" w:rsidRDefault="0019134B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9134B" w:rsidRPr="00780E08" w:rsidRDefault="0019134B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</w:t>
      </w: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постановлению администрации   </w:t>
      </w: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10.11.2023 г. № 61</w:t>
      </w:r>
    </w:p>
    <w:p w:rsidR="00780E08" w:rsidRPr="00780E08" w:rsidRDefault="00780E08" w:rsidP="00780E08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Паспорт муниципальной  программы развития субъектов 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малого и среднего предпринимательства 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территории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2024-2026 годы</w:t>
      </w: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780E08" w:rsidRPr="00780E08" w:rsidTr="00780E08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 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r w:rsidRPr="00780E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Новоичинского сельсовета Куйбышевского района</w:t>
            </w: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на  2024-2026 годы (далее - Программа)</w:t>
            </w:r>
          </w:p>
        </w:tc>
      </w:tr>
      <w:tr w:rsidR="00780E08" w:rsidRPr="00780E08" w:rsidTr="00780E08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содействие развитию малого и среднего предпринимательства на территории </w:t>
            </w:r>
            <w:r w:rsidRPr="00780E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Новоичинского сельсовета Куйбышевского района</w:t>
            </w: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(далее - муниципальное образование);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обеспечение занятости и развитие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самозанятости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населения муниципального образования.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E08" w:rsidRPr="00780E08" w:rsidTr="00780E08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780E08" w:rsidRPr="00780E08" w:rsidTr="00780E08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Pr="00780E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Новоичинского сельсовета Куйбышевского района</w:t>
            </w: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(далее – администрация)</w:t>
            </w:r>
          </w:p>
        </w:tc>
      </w:tr>
      <w:tr w:rsidR="00780E08" w:rsidRPr="00780E08" w:rsidTr="00780E08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Разработчики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 </w:t>
            </w:r>
          </w:p>
        </w:tc>
      </w:tr>
      <w:tr w:rsidR="00780E08" w:rsidRPr="00780E08" w:rsidTr="00780E08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Исполнители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мероприятий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780E08" w:rsidRPr="00780E08" w:rsidTr="00780E08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780E08" w:rsidRPr="00780E08" w:rsidTr="00780E08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2024- 2026 годы</w:t>
            </w:r>
          </w:p>
        </w:tc>
      </w:tr>
      <w:tr w:rsidR="00780E08" w:rsidRPr="00780E08" w:rsidTr="00780E08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Результаты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реализации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обеспечение стабильной занятости в секторе малого и среднего бизнеса;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780E08" w:rsidRPr="00780E08" w:rsidRDefault="00780E08" w:rsidP="00780E08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</w:t>
      </w:r>
    </w:p>
    <w:p w:rsidR="00780E08" w:rsidRPr="00780E08" w:rsidRDefault="00780E08" w:rsidP="00780E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объемы и источники их финансирования, ответственных за реализацию мероприятий.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основных приоритетов социально-экономического развития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проблемы и обоснование</w:t>
      </w: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ее решения программными методами</w:t>
      </w:r>
    </w:p>
    <w:p w:rsidR="00780E08" w:rsidRPr="00780E08" w:rsidRDefault="00780E08" w:rsidP="00780E0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бизнес играет важную роль в решении экономических и социальных задач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 по содействию развитию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3. Основные цели и задачи Программы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целями Программы являются: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развитию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содействия субъектам малого и среднего предпринимательства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продвижении производимых ими товаров (работ, услуг);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занятости и развитие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Задачи, которые необходимо решить для достижения поставленных целей: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(популяризация) предпринимательской деятельности.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4.. Срок реализации Программы</w:t>
      </w:r>
    </w:p>
    <w:p w:rsidR="00780E08" w:rsidRPr="00780E08" w:rsidRDefault="00780E08" w:rsidP="00780E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Срок реализации Программы – 2024-2026 годы.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Система программных мероприятий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 представлена следующими направлениями: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квалификационных кадров;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привлечения в экономику инвесторов с целью создания конкурентоспособных структур;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производственных мощностей на базе функционирующих предприятий;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налогооблагаемой базы, с целью увеличения поступлений в бюджет 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безработицы;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новых видов конкурентоспособной продукции, услуг с целью выхода на новые рынки сбыта;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трудоустройство населения сельсовета;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среднемесячной заработной платы;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внешней среды развития малого предпринимательства;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субъектов малого и среднего предпринимательства.</w:t>
      </w: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муниципальной   программы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субъектов малого и среднего предпринимательства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2024-2026 годы</w:t>
      </w: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3057"/>
        <w:gridCol w:w="2690"/>
        <w:gridCol w:w="1275"/>
        <w:gridCol w:w="2184"/>
      </w:tblGrid>
      <w:tr w:rsidR="00780E08" w:rsidRPr="00780E08" w:rsidTr="00780E08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Объем финансирования, 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Исполнители</w:t>
            </w:r>
          </w:p>
        </w:tc>
      </w:tr>
      <w:tr w:rsidR="00780E08" w:rsidRPr="00780E08" w:rsidTr="00780E08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780E08" w:rsidRPr="00780E08" w:rsidTr="00780E08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08" w:rsidRPr="00780E08" w:rsidRDefault="00780E08" w:rsidP="00780E08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Содействие развитию 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 </w:t>
            </w: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rPr>
          <w:trHeight w:val="144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муниципального образования</w:t>
            </w: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780E08" w:rsidRPr="00780E08" w:rsidTr="00780E08">
        <w:trPr>
          <w:trHeight w:val="70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08" w:rsidRPr="00780E08" w:rsidRDefault="00780E08" w:rsidP="00780E0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rPr>
          <w:trHeight w:val="244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выставочно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0,5 тыс. руб.- 2024г.,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0,5 тыс. руб.-  2025г., руб.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0,5 тыс. руб.-2026.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780E08" w:rsidRPr="00780E08" w:rsidTr="00780E0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 в форме субсидирования части затрат. Направления оказания финансовой поддержки определяются Порядком оказания финансовой поддержки субъектам малого и среднего предпринимательства  (приложение №1)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объемов производства   ассортимента выпускаемой продукции.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>1,0 тыс. руб.-2024г.,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>1,0 тыс. руб.-  2025г., руб.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sz w:val="24"/>
                <w:szCs w:val="24"/>
              </w:rPr>
              <w:t>1,0 тыс. руб.-2026г.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780E08" w:rsidRPr="00780E08" w:rsidRDefault="00780E08" w:rsidP="00780E0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80E08" w:rsidRPr="00780E08" w:rsidRDefault="00780E08" w:rsidP="00780E0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Ресурсное обеспечение Программы</w:t>
      </w:r>
    </w:p>
    <w:p w:rsidR="00780E08" w:rsidRPr="00780E08" w:rsidRDefault="00780E08" w:rsidP="0078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 (п.2.3) осуществляется согласно выделенным средствам из бюджета муниципального образования и составляет 500 рублей на 2024 год, 500 рублей на 2025 год, 500 рублей на 2026 год.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(п.2.4) осуществляется согласно выделенным средствам из бюджета муниципального образования и составляет 1000 рублей на 2024 год, 1000 рублей на 2025 год, 1000 рублей на 2026 год.</w:t>
      </w: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 управления (механизм реализации) Программой</w:t>
      </w:r>
    </w:p>
    <w:p w:rsidR="00780E08" w:rsidRPr="00780E08" w:rsidRDefault="00780E08" w:rsidP="00780E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Программы является администрация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 муниципальным правовым актом администрации.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рассмотрения обращений субъектов малого и среднего предпринимательства по вопросам оказания им поддержки составляет: не более 15 календарных дней с момента поступления обращения. Срок информирования о решении, принятом по такому обращению, в течени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дней со дня его принятия.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</w:t>
      </w: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в установленном порядке осуществляется администрацией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Оценка эффективности результатов реализации Программы</w:t>
      </w:r>
    </w:p>
    <w:p w:rsidR="00780E08" w:rsidRPr="00780E08" w:rsidRDefault="00780E08" w:rsidP="00780E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780E0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Новоичинского сельсовета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10.11.2023 № 61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финансовой поддержки субъектам малого и среднего предпринимательства на территории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территории </w:t>
      </w:r>
      <w:r w:rsidRPr="00780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Новоичинского сельсовета Куйбышевского района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(далее – муниципальное образование).</w:t>
      </w:r>
    </w:p>
    <w:p w:rsidR="00780E08" w:rsidRPr="00780E08" w:rsidRDefault="00780E08" w:rsidP="00780E08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Финансовая поддержка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следующих формах: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части затрат по участию в выставках или ярмарках;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части арендных платежей.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3. Оказание финансовой поддержки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пределах объемов финансирования, предусмотренных 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Финансовая поддержка не оказывается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являющимся участниками соглашений о разделе продукции;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стадии реорганизации/ликвидации.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В оказании финансовой поддержки должно быть отказано в случае, если: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не представлены документы, определенные Порядком, или представлены недостоверные сведения и документы;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не выполнены условия оказания финансовой поддержки, установленные Порядком;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ранее в отношении заявителя -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принято решение об оказании аналогичной поддержки и сроки ее оказания не истекли;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с момента признания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приеме заявок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Новоичинского сельсовета Куйбышевского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заявок.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 Претенденты на получение финансовой поддержки за счет средств 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представляется заявителями в Администрацию.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 Заявка регистрируется в день подачи с указанием номера и даты регистрации.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10. Зарегистрированные заявки не возвращаются.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11. Ответственность за сохранность заявки несет лицо, принявшее заявку.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12.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13. Заявители вправе: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чьи заявки были поданы ранее.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 – администрацией   -  проводится обязательная проверка соблюдения условий, целей и порядка предоставления субсидий их получателям.  Для </w:t>
      </w: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обязательной проверки получателями субсидий предоставляются в Администрацию  необходимые документы в объеме и в сроки в соответствии с договором о предоставлении субсидии.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20.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 обязана принять меры для возврата субсидий в судебном порядке.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 оказания финансовой поддержки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финансовой поддержки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финансовую поддержку в форме  __________________________________________________________________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Общие сведения об организации (индивидуальном предпринимателе):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Регистрационный номер 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Дата регистрации _______________________ 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регистрации 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Юридический адрес 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Почтовый адрес _____________________   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ИНН __________________________________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КПП __________________________________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  Регистрационный   номер   страхователя  в  территориальном  органе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Коды ОКВЭД_____________________________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Наименование основного вида деятельности 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Код ОКАТО________________________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Код ОКПО _____________________________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Система налогообложения 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   Осуществляет   ли  организация  (индивидуальный  предприниматель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ледующие   виды  деятельности:  деятельность  в  сфере  игорного  бизнеса;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  по   производству   подакцизных   товаров;  деятельность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 подакцизных  товаров;  деятельность  по  добыче  и  реализации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полезных ископаемых (если "да" - указать какие): 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    Получала   ли   организация   (индивидуальный   предприниматель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)ф</w:t>
      </w:r>
      <w:proofErr w:type="gram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инансовую  поддержку  по  государственным  или  муниципальным программам в течение трех лет, предшествующих году подачи заявки 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15.1. Название программы и формы поддержки _________________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15.2.  Дата  заключения  договора о предоставлении финансовой поддержки ________________________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15.3. Сумма поддержки ________________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16.  Находится ли организация (индивидуальный предприниматель) в стадии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реорганизации/ликвидации (указать "да" или "нет") _________________________________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17.  Имеется  ли лицензия на осуществление видов деятельности в случае, если    в    соответствии   с   действующим   законодательством   требуется лицензирование   данного   вида   деятельности  (указать  "да"  или  "нет")____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18.  Банковские  реквизиты для оказания финансовой поддержки (в случае, если на момент подачи заявки расчетный счет открыт) ______________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Руководитель  организации  (индивидуальный  предприниматель)  дает свое согласие  на   обработку   сведений/персональных  данных,  содержащихся  в представленных документах.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 (_______________________)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(_______________________)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 "____" _______________ 20___ г.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оказания финансовой поддержки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 для оказания финансовой поддержки субъектам 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 и среднего предпринимательства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заявка на оказание финансовой поддержки субъектов малого и среднего предпринимательства (далее - финансовая поддержка) 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копия свидетельства о постановке на учет в налоговом органе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копии документов по финансово-хозяйственной деятельности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копии документов, подтверждающих оплату за обучение,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11) пояснительная записка, обосновывающая необходимость обучения работников, подписанная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12) таблицы по экономическим показателям деятельности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(таблица №1, № 2);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13) справка налогового органа об отсутствии у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15)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16)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17)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копия паспорта гражданина Российской Федерации, заверенная заявителем, - для индивидуальных предпринимателей.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Перечень документов, необходимых для получения финансовой поддержки субъектами малого и среднего предпринимательства  в форме субсидирования части затрат по участию в выставках или ярмарках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заявка на оказание финансовой поддержки;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выписка из ЕГРЮЛ/ЕГРИП, выданная не ранее чем за 3 месяца до даты подачи заявки на оказание финансовой поддержки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5) копия свидетельства о постановке на учет в налоговом органе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7) копии документов по финансово-хозяйственной деятельности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9) копии документов об оплате предоставленных услуг, выполненных работ, связанных с участием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выставке или ярмарке,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10) таблицы по экономическим показателям деятельности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(таблица № 1, № 2);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11)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12) справка налогового органа об отсутствии у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15) 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16) копия паспорта гражданина Российской Федерации, заверенная заявителем, - для индивидуальных предпринимателей.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заявка на оказание финансовой поддержки;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5) копия свидетельства о постановке на учет в налоговом органе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7) копии документов по финансово-хозяйственной деятельности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8)  копия договора аренды, заверенная заявителем и арендодателем;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9) копии документов, подтверждающих оплату арендных платежей,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10) таблицы экономических показателей деятельности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(таблица № 1, № 2);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12) справка налогового органа об отсутствии у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15)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ранее года оказания финансовой поддержки;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17) копия паспорта гражданина Российской Федерации, заверенная заявителем, - для индивидуальных предпринимателей.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При обучении своих работников на нескольких обучающих курсах </w:t>
      </w: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одна заявка с указанием курсов и обучающих организаций, количества обучающихся.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сокращения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ЕГРИП - Единый государственный реестр индивидуальных предпринимателей;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- Единый государственный реестр юридических лиц;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субъекты малого и среднего предпринимательства.</w:t>
      </w: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tabs>
          <w:tab w:val="left" w:pos="658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экономических показателей деятельности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финансовой поддержки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 № 1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применяющего общую систему налогообложения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4709"/>
        <w:gridCol w:w="1414"/>
        <w:gridCol w:w="1413"/>
        <w:gridCol w:w="1400"/>
      </w:tblGrid>
      <w:tr w:rsidR="00780E08" w:rsidRPr="00780E08" w:rsidTr="00780E08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Годы, предшествующие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оказания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финансовой поддержки,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за год (план)</w:t>
            </w:r>
          </w:p>
        </w:tc>
      </w:tr>
      <w:tr w:rsidR="00780E08" w:rsidRPr="00780E08" w:rsidTr="00780E0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E08" w:rsidRPr="00780E08" w:rsidRDefault="00780E08" w:rsidP="0078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E08" w:rsidRPr="00780E08" w:rsidRDefault="00780E08" w:rsidP="0078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1-й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E08" w:rsidRPr="00780E08" w:rsidRDefault="00780E08" w:rsidP="0078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(_________________________)</w:t>
      </w:r>
      <w:proofErr w:type="gramEnd"/>
    </w:p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 предприниматель)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 № 2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применяющего</w:t>
      </w:r>
      <w:proofErr w:type="gramEnd"/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954"/>
        <w:gridCol w:w="1377"/>
        <w:gridCol w:w="1377"/>
        <w:gridCol w:w="1494"/>
        <w:gridCol w:w="1263"/>
      </w:tblGrid>
      <w:tr w:rsidR="00780E08" w:rsidRPr="00780E08" w:rsidTr="00780E08">
        <w:trPr>
          <w:trHeight w:val="567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Годы, предшествующие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финансовой поддержке*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оказания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финансовой поддержки</w:t>
            </w:r>
          </w:p>
        </w:tc>
      </w:tr>
      <w:tr w:rsidR="00780E08" w:rsidRPr="00780E08" w:rsidTr="00780E08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E08" w:rsidRPr="00780E08" w:rsidRDefault="00780E08" w:rsidP="0078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0E08" w:rsidRPr="00780E08" w:rsidRDefault="00780E08" w:rsidP="0078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2-й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1-й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последний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отчетный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период**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                  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  <w:p w:rsidR="00780E08" w:rsidRPr="00780E08" w:rsidRDefault="00780E08" w:rsidP="00780E08">
            <w:pPr>
              <w:spacing w:after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год (план)</w:t>
            </w:r>
          </w:p>
        </w:tc>
      </w:tr>
      <w:tr w:rsidR="00780E08" w:rsidRPr="00780E08" w:rsidTr="00780E08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Доход, тыс.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12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численность работников (включая выполнявших работы по договорам гражданско-</w:t>
            </w:r>
            <w:proofErr w:type="gramEnd"/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правового характера), всего, человек, из нее: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совместителей)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15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совместителей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1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договорам гражданско-правового характера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79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начисленной заработной платы работников </w:t>
            </w: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списочного</w:t>
            </w:r>
            <w:proofErr w:type="gramEnd"/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состава, 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8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плата, руб.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(п. 3/п. 2.1/кол-во месяцев)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10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налогов   бюджет   (тыс. рублей), всего,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 лиц (НДФЛ)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(для упрощенной системы налогообложения)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1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1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rPr>
          <w:trHeight w:val="6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налог </w:t>
            </w: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вмененный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 для отдельных видов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80E08" w:rsidRPr="00780E08" w:rsidTr="00780E08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_____________________(_________________________)</w:t>
      </w:r>
      <w:proofErr w:type="gramEnd"/>
    </w:p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(индивидуальный предприниматель)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80E08" w:rsidRPr="00780E08" w:rsidRDefault="00780E08" w:rsidP="00780E08">
      <w:pPr>
        <w:shd w:val="clear" w:color="auto" w:fill="FFFFFF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Примечания:</w:t>
      </w:r>
      <w:bookmarkStart w:id="1" w:name="Par331"/>
      <w:bookmarkStart w:id="2" w:name="Par333"/>
      <w:bookmarkEnd w:id="1"/>
      <w:bookmarkEnd w:id="2"/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если оказание финансовой поддержки начато в 2024 году, то предшествующие годы – 2023 (1-й год, предшествующий финансовой поддержке) и 2022 (2-й год, предшествующий финансовой поддержке).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3367"/>
      <w:bookmarkEnd w:id="3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**Заполняется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применяющими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3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оказания финансовой поддержки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 малого и среднего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предпринимательства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 и порядок предоставления финансовой поддержки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определенным категориям субъектов малого и среднего предпринимательства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41"/>
        <w:gridCol w:w="2251"/>
        <w:gridCol w:w="2382"/>
        <w:gridCol w:w="2610"/>
      </w:tblGrid>
      <w:tr w:rsidR="00780E08" w:rsidRPr="00780E08" w:rsidTr="00780E08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ind w:right="-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0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80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поддержки и порядок предоставления</w:t>
            </w:r>
          </w:p>
        </w:tc>
      </w:tr>
      <w:tr w:rsidR="00780E08" w:rsidRPr="00780E08" w:rsidTr="00780E08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Субсидирование части затрат на  обучение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заинтересованные</w:t>
            </w:r>
            <w:proofErr w:type="gram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имеющие потребность в обучении своих работников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отсутствие задолженности по налогам и сборам в бюджетную систему Российской Федерации;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</w:t>
            </w: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трудоспособного населения Новосибирской области (для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проработавших не менее трех лет).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50% от стоимости курса (курсов) обучения, но не более 20 тыс. руб. в год.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780E08" w:rsidRPr="00780E08" w:rsidTr="00780E08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принимающие</w:t>
            </w:r>
            <w:proofErr w:type="gram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2) обеспечение  уровня среднемесячной заработной платы одного работника за </w:t>
            </w: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проработавших не менее трех лет);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50% затрат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</w:p>
          <w:p w:rsidR="00780E08" w:rsidRPr="00780E08" w:rsidRDefault="00780E08" w:rsidP="00780E08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-ярмарочного оборудования), изготовлением и оформлением выставочных образцов, </w:t>
            </w: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месту проведения ярмарки (выставки) и расходы по их проживанию, но не более 20 тыс. рублей в год.</w:t>
            </w:r>
          </w:p>
          <w:p w:rsidR="00780E08" w:rsidRPr="00780E08" w:rsidRDefault="00780E08" w:rsidP="00780E08">
            <w:pPr>
              <w:spacing w:after="0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780E08" w:rsidRPr="00780E08" w:rsidTr="00780E08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Субсидирование части арендных платежей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действовавшие менее трех лет с момента государственной регистрации, по состоянию на первое января года оказания финансовой поддержки и </w:t>
            </w: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1) отсутствие задолженности по </w:t>
            </w: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налогам и сборам в бюджетную систему Российской Федерации;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проработавших не менее трех лет);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E08" w:rsidRPr="00780E08" w:rsidRDefault="00780E08" w:rsidP="00780E08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50% от величины арендной платы (без НДС), но не более 200 руб. за 1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СМиСП</w:t>
            </w:r>
            <w:proofErr w:type="spellEnd"/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января года оказания финансовой поддержки.</w:t>
            </w:r>
          </w:p>
          <w:p w:rsidR="00780E08" w:rsidRPr="00780E08" w:rsidRDefault="00780E08" w:rsidP="00780E0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</w:t>
      </w: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 1): сельское хозяйство, охота и лесное хозяйство;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сброженных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сброженных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780E08" w:rsidRPr="00780E08" w:rsidRDefault="00780E08" w:rsidP="00780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Учитывается только численность списочного состава (без внешних совместителей).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используемых сокращений:</w:t>
      </w:r>
    </w:p>
    <w:p w:rsidR="00780E08" w:rsidRPr="00780E08" w:rsidRDefault="00780E08" w:rsidP="00780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780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78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малого и среднего предпринимательства</w:t>
      </w:r>
    </w:p>
    <w:p w:rsidR="00780E08" w:rsidRPr="00780E08" w:rsidRDefault="00780E08" w:rsidP="00780E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E08" w:rsidRPr="00780E08" w:rsidRDefault="00780E08" w:rsidP="00780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C7F" w:rsidRDefault="00D35C7F"/>
    <w:sectPr w:rsidR="00D3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3F"/>
    <w:rsid w:val="0013043F"/>
    <w:rsid w:val="0019134B"/>
    <w:rsid w:val="00320AF1"/>
    <w:rsid w:val="00780E08"/>
    <w:rsid w:val="00830804"/>
    <w:rsid w:val="00CF263D"/>
    <w:rsid w:val="00D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0E08"/>
  </w:style>
  <w:style w:type="character" w:styleId="a3">
    <w:name w:val="Hyperlink"/>
    <w:semiHidden/>
    <w:unhideWhenUsed/>
    <w:rsid w:val="00780E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0E08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780E08"/>
    <w:pPr>
      <w:spacing w:after="0" w:line="240" w:lineRule="auto"/>
      <w:jc w:val="center"/>
    </w:pPr>
    <w:rPr>
      <w:rFonts w:ascii="Calibri" w:eastAsia="Calibri" w:hAnsi="Calibri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780E08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qFormat/>
    <w:rsid w:val="00780E08"/>
    <w:pPr>
      <w:widowControl w:val="0"/>
      <w:suppressAutoHyphens/>
      <w:ind w:left="720"/>
    </w:pPr>
    <w:rPr>
      <w:rFonts w:ascii="Calibri" w:eastAsia="Calibri" w:hAnsi="Calibri" w:cs="Calibri"/>
      <w:lang w:eastAsia="ru-RU" w:bidi="ru-RU"/>
    </w:rPr>
  </w:style>
  <w:style w:type="paragraph" w:customStyle="1" w:styleId="s1">
    <w:name w:val="s_1"/>
    <w:basedOn w:val="a"/>
    <w:rsid w:val="0078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80E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itle">
    <w:name w:val="Title!Название НПА"/>
    <w:basedOn w:val="a"/>
    <w:rsid w:val="00780E0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780E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Название Знак1"/>
    <w:basedOn w:val="a0"/>
    <w:uiPriority w:val="10"/>
    <w:rsid w:val="00780E08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0E08"/>
  </w:style>
  <w:style w:type="character" w:styleId="a3">
    <w:name w:val="Hyperlink"/>
    <w:semiHidden/>
    <w:unhideWhenUsed/>
    <w:rsid w:val="00780E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0E08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780E08"/>
    <w:pPr>
      <w:spacing w:after="0" w:line="240" w:lineRule="auto"/>
      <w:jc w:val="center"/>
    </w:pPr>
    <w:rPr>
      <w:rFonts w:ascii="Calibri" w:eastAsia="Calibri" w:hAnsi="Calibri" w:cs="Times New Roman"/>
      <w:b/>
      <w:b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780E08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qFormat/>
    <w:rsid w:val="00780E08"/>
    <w:pPr>
      <w:widowControl w:val="0"/>
      <w:suppressAutoHyphens/>
      <w:ind w:left="720"/>
    </w:pPr>
    <w:rPr>
      <w:rFonts w:ascii="Calibri" w:eastAsia="Calibri" w:hAnsi="Calibri" w:cs="Calibri"/>
      <w:lang w:eastAsia="ru-RU" w:bidi="ru-RU"/>
    </w:rPr>
  </w:style>
  <w:style w:type="paragraph" w:customStyle="1" w:styleId="s1">
    <w:name w:val="s_1"/>
    <w:basedOn w:val="a"/>
    <w:rsid w:val="0078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80E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itle">
    <w:name w:val="Title!Название НПА"/>
    <w:basedOn w:val="a"/>
    <w:rsid w:val="00780E08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780E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Название Знак1"/>
    <w:basedOn w:val="a0"/>
    <w:uiPriority w:val="10"/>
    <w:rsid w:val="00780E08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7785</Words>
  <Characters>44380</Characters>
  <Application>Microsoft Office Word</Application>
  <DocSecurity>0</DocSecurity>
  <Lines>369</Lines>
  <Paragraphs>104</Paragraphs>
  <ScaleCrop>false</ScaleCrop>
  <Company/>
  <LinksUpToDate>false</LinksUpToDate>
  <CharactersWithSpaces>52061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2023-11-28T02:03:00Z</dcterms:created>
  <dcterms:modified xsi:type="dcterms:W3CDTF">2023-11-28T05:52:00Z</dcterms:modified>
</cp:coreProperties>
</file>